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25" w:rsidRDefault="006A36BF">
      <w:pPr>
        <w:spacing w:before="0" w:after="0"/>
        <w:ind w:left="5103"/>
        <w:jc w:val="center"/>
        <w:outlineLvl w:val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УТВЕРЖДЕН</w:t>
      </w:r>
    </w:p>
    <w:p w:rsidR="00732025" w:rsidRDefault="006A36BF">
      <w:pPr>
        <w:spacing w:before="0" w:after="0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распоряжением ПАО «Газпром»</w:t>
      </w:r>
    </w:p>
    <w:p w:rsidR="00732025" w:rsidRDefault="006A36BF">
      <w:pPr>
        <w:spacing w:before="0" w:after="0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«09» августа 2024 г. № 300</w:t>
      </w:r>
    </w:p>
    <w:p w:rsidR="00732025" w:rsidRDefault="00732025">
      <w:pPr>
        <w:spacing w:before="0" w:after="0"/>
        <w:ind w:left="5103" w:firstLine="851"/>
        <w:rPr>
          <w:rFonts w:ascii="Times New Roman" w:hAnsi="Times New Roman"/>
          <w:color w:val="FF0000"/>
          <w:sz w:val="28"/>
          <w:szCs w:val="28"/>
        </w:rPr>
      </w:pPr>
    </w:p>
    <w:p w:rsidR="00732025" w:rsidRDefault="00732025">
      <w:pPr>
        <w:widowControl w:val="0"/>
        <w:spacing w:before="0"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732025" w:rsidRDefault="006A36BF">
      <w:pPr>
        <w:widowControl w:val="0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КОДЕКС </w:t>
      </w:r>
    </w:p>
    <w:p w:rsidR="00732025" w:rsidRDefault="006A36BF">
      <w:pPr>
        <w:widowControl w:val="0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поведения поставщика (подрядчика, исполнителя) </w:t>
      </w:r>
    </w:p>
    <w:p w:rsidR="00732025" w:rsidRDefault="006A36BF">
      <w:pPr>
        <w:widowControl w:val="0"/>
        <w:spacing w:before="0" w:after="0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ПАО «Газпром» и Компаний Группы Газпром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732025" w:rsidRDefault="00732025">
      <w:pPr>
        <w:widowControl w:val="0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732025" w:rsidRDefault="006A36BF">
      <w:p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ПОЛОЖЕНИЯ</w:t>
      </w:r>
    </w:p>
    <w:p w:rsidR="00732025" w:rsidRDefault="006A36BF">
      <w:pPr>
        <w:pStyle w:val="afe"/>
        <w:widowControl w:val="0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Принимая во вн</w:t>
      </w:r>
      <w:r>
        <w:rPr>
          <w:rFonts w:ascii="Times New Roman" w:hAnsi="Times New Roman"/>
          <w:sz w:val="28"/>
          <w:szCs w:val="28"/>
        </w:rPr>
        <w:t>имание значимость роли поставщиков (подрядчиков, исполнителей), привлекаемых ПАО «Газпром» и Компаниями Группы Газпром в рамках реализации своих целей, задач и направлений деятельности, а также в целях повышения уровня доверия к таким поставщикам (подрядчи</w:t>
      </w:r>
      <w:r>
        <w:rPr>
          <w:rFonts w:ascii="Times New Roman" w:hAnsi="Times New Roman"/>
          <w:sz w:val="28"/>
          <w:szCs w:val="28"/>
        </w:rPr>
        <w:t xml:space="preserve">кам, исполнителям) настоящим Кодексом устанавливаются </w:t>
      </w:r>
      <w:r>
        <w:rPr>
          <w:rFonts w:ascii="Times New Roman" w:hAnsi="Times New Roman"/>
          <w:color w:val="auto"/>
          <w:sz w:val="28"/>
          <w:szCs w:val="28"/>
        </w:rPr>
        <w:t xml:space="preserve">общие принципы </w:t>
      </w:r>
      <w:r>
        <w:rPr>
          <w:rFonts w:ascii="Times New Roman" w:hAnsi="Times New Roman"/>
          <w:sz w:val="28"/>
          <w:szCs w:val="28"/>
        </w:rPr>
        <w:t>их поведения при поставке товаров (выполнении работ, оказании услуг) для нужд Группы Газпром в рамках исполнения условий заключенных с ними договоров.</w:t>
      </w:r>
    </w:p>
    <w:p w:rsidR="00732025" w:rsidRDefault="006A36BF">
      <w:pPr>
        <w:pStyle w:val="afe"/>
        <w:widowControl w:val="0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Кодекс представляет собой общед</w:t>
      </w:r>
      <w:r>
        <w:rPr>
          <w:rFonts w:ascii="Times New Roman" w:hAnsi="Times New Roman"/>
          <w:sz w:val="28"/>
          <w:szCs w:val="28"/>
        </w:rPr>
        <w:t>оступный документ, размещенный в сети Интернет на официальном сайте ПАО «Газпром».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также может быть размещен на официальных сайтах Компаний Группы Газпром.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Положения настоящего Кодекса носят для поставщиков (подрядчиков, исполнителей) – юридиче</w:t>
      </w:r>
      <w:r>
        <w:rPr>
          <w:rFonts w:ascii="Times New Roman" w:hAnsi="Times New Roman"/>
          <w:sz w:val="28"/>
          <w:szCs w:val="28"/>
        </w:rPr>
        <w:t>ских и физических лиц (в том числе индивидуальных предпринимателей) (далее вместе – Исполнители) – рекомендательный характер.</w:t>
      </w:r>
    </w:p>
    <w:p w:rsidR="00732025" w:rsidRDefault="006A36BF">
      <w:pPr>
        <w:widowControl w:val="0"/>
        <w:spacing w:before="0"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Нормы настоящего Кодекса основаны на общих принципах гражданского права, включая принципы признания равенства участников комм</w:t>
      </w:r>
      <w:r>
        <w:rPr>
          <w:rFonts w:ascii="Times New Roman" w:hAnsi="Times New Roman"/>
          <w:sz w:val="28"/>
          <w:szCs w:val="28"/>
        </w:rPr>
        <w:t>ерческого оборота, неприкосновенности собственности, свободы договора,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</w:t>
      </w:r>
      <w:r>
        <w:rPr>
          <w:rFonts w:ascii="Times New Roman" w:hAnsi="Times New Roman"/>
          <w:sz w:val="28"/>
          <w:szCs w:val="28"/>
        </w:rPr>
        <w:t xml:space="preserve">бной защиты, а также на принципах разумности и добросовестности Исполнителей независимо от применения или неприменения ими положений настоящего Кодекса, и направлены на развитие взаимодействия между ПАО «Газпром», Компаниями Группы Газпром и Исполнителями </w:t>
      </w:r>
      <w:r>
        <w:rPr>
          <w:rFonts w:ascii="Times New Roman" w:hAnsi="Times New Roman"/>
          <w:sz w:val="28"/>
          <w:szCs w:val="28"/>
        </w:rPr>
        <w:t xml:space="preserve">на основе справедливого, делового, взаимовыгодного сотрудничества, равноправного партнерства, а также на формирование клиентоориентированного поведения Исполнителей. </w:t>
      </w:r>
    </w:p>
    <w:p w:rsidR="00732025" w:rsidRDefault="00732025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732025" w:rsidRDefault="006A36BF">
      <w:p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ТЕРМИНЫ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ОПРЕДЕЛЕНИЯ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> Группа Газпром</w:t>
      </w:r>
      <w:r>
        <w:rPr>
          <w:rFonts w:ascii="Times New Roman" w:hAnsi="Times New Roman"/>
          <w:sz w:val="28"/>
          <w:szCs w:val="28"/>
        </w:rPr>
        <w:t xml:space="preserve"> – ПАО «Газпром» и Компании Группы Газпром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>
        <w:rPr>
          <w:rFonts w:ascii="Times New Roman" w:hAnsi="Times New Roman"/>
          <w:b/>
          <w:sz w:val="28"/>
          <w:szCs w:val="28"/>
        </w:rPr>
        <w:t>Компании Группы Газпром</w:t>
      </w:r>
      <w:r>
        <w:rPr>
          <w:rFonts w:ascii="Times New Roman" w:hAnsi="Times New Roman"/>
          <w:sz w:val="28"/>
          <w:szCs w:val="28"/>
        </w:rPr>
        <w:t xml:space="preserve"> – в целях применения настоящего Кодекса к Компаниям Группы Газпром относятся следующие общества и организации: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дочерние общества ПАО «Газпром»;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дочерние общества дочерних обществ ПАО «Газпром»;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общества и организации, в уставном капитале которых ПАО «Газпром» </w:t>
      </w:r>
      <w:r>
        <w:rPr>
          <w:rFonts w:ascii="Times New Roman" w:hAnsi="Times New Roman"/>
          <w:sz w:val="28"/>
          <w:szCs w:val="28"/>
        </w:rPr>
        <w:lastRenderedPageBreak/>
        <w:t>совместно со своими дочерними обществами и/или дочерними обществами дочерних обществ ПАО «Газпром» напрямую или косвенно владеют более 50% долей (акций);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общества и организации, не являющиес</w:t>
      </w:r>
      <w:r>
        <w:rPr>
          <w:rFonts w:ascii="Times New Roman" w:hAnsi="Times New Roman"/>
          <w:sz w:val="28"/>
          <w:szCs w:val="28"/>
        </w:rPr>
        <w:t>я дочерними, финансовая отчетность которых входит в консолидированную финансовую отчетность ПАО «Газпром» по международным стандартам финансовой отчетности (МСФО).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>
        <w:rPr>
          <w:rFonts w:ascii="Times New Roman" w:hAnsi="Times New Roman"/>
          <w:b/>
          <w:sz w:val="28"/>
          <w:szCs w:val="28"/>
        </w:rPr>
        <w:t>Поведение Исполнителя</w:t>
      </w:r>
      <w:r>
        <w:rPr>
          <w:rFonts w:ascii="Times New Roman" w:hAnsi="Times New Roman"/>
          <w:sz w:val="28"/>
          <w:szCs w:val="28"/>
        </w:rPr>
        <w:t xml:space="preserve"> – поведение в рамках осуществления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профессиональной предпринимате</w:t>
      </w:r>
      <w:r>
        <w:rPr>
          <w:rFonts w:ascii="Times New Roman" w:hAnsi="Times New Roman"/>
          <w:sz w:val="28"/>
          <w:szCs w:val="28"/>
        </w:rPr>
        <w:t>льской деятельности, основанное на системе принципов, рекомендованных настоящим Кодексом для руководства при исполнении договоров.</w:t>
      </w:r>
      <w:r>
        <w:t xml:space="preserve"> </w:t>
      </w:r>
    </w:p>
    <w:p w:rsidR="00732025" w:rsidRDefault="00732025">
      <w:pPr>
        <w:widowControl w:val="0"/>
        <w:spacing w:before="0"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732025" w:rsidRDefault="006A36BF">
      <w:pPr>
        <w:widowControl w:val="0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ПРИНЦИПЫ ПОВЕДЕНИЯ ИСПОЛНИТЕЛЕЙ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 при осуществлении деятельности придерживаются следующих принципов: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</w:t>
      </w:r>
      <w:r>
        <w:rPr>
          <w:rFonts w:ascii="Times New Roman" w:hAnsi="Times New Roman"/>
          <w:sz w:val="28"/>
          <w:szCs w:val="28"/>
        </w:rPr>
        <w:t>вие профессиональной деятельности требованиям применимого законодательства, техническим нормам и правилам, стандартам, договорным обязательствам;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к взаимодействию и сотрудничеству на основе равноправного партнерства и уважения взаимных интересов</w:t>
      </w:r>
      <w:r>
        <w:rPr>
          <w:rFonts w:ascii="Times New Roman" w:hAnsi="Times New Roman"/>
          <w:sz w:val="28"/>
          <w:szCs w:val="28"/>
        </w:rPr>
        <w:t>, гибкости в экономической деятельности;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вклада в социально-экономическое развитие Российской Федерации; 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справедливость во взаимоотношениях с работниками;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ответственная социальная политика в регионах присутствия с учетом уважения к кул</w:t>
      </w:r>
      <w:r>
        <w:rPr>
          <w:rFonts w:ascii="Times New Roman" w:hAnsi="Times New Roman"/>
          <w:sz w:val="28"/>
          <w:szCs w:val="28"/>
        </w:rPr>
        <w:t>ьтурному наследию и традициям;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развитии инфраструктуры регионов присутствия;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технологического и кадрового потенциала.</w:t>
      </w:r>
    </w:p>
    <w:p w:rsidR="00732025" w:rsidRDefault="00732025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732025" w:rsidRDefault="006A36BF">
      <w:pPr>
        <w:widowControl w:val="0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ОСНОВНЫЕ ПОЛОЖЕНИЯ ПОВЕДЕНИЯ ИСПОЛНИТЕЛЕЙ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4.1. В сфере трудовых отношений, состояния условий и охраны труд</w:t>
      </w:r>
      <w:r>
        <w:rPr>
          <w:rFonts w:ascii="Times New Roman" w:hAnsi="Times New Roman"/>
          <w:color w:val="auto"/>
          <w:sz w:val="28"/>
          <w:szCs w:val="28"/>
        </w:rPr>
        <w:t>а Исполнители обеспечивают соблюдение норм действующего законодательства, в частности: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допускают принудительного труда и дискриминации в сфере труда, в том числе по расовому признаку, полу, цвету кожи, национальности, религии, возрасту, членству в профс</w:t>
      </w:r>
      <w:r>
        <w:rPr>
          <w:rFonts w:ascii="Times New Roman" w:hAnsi="Times New Roman"/>
          <w:sz w:val="28"/>
          <w:szCs w:val="28"/>
        </w:rPr>
        <w:t>оюзах и другим обстоятельствам, не связанным с деловыми качествами работников;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осуществляют выплату работникам справедливой заработной платы и реализовывают меры социальной поддержки, 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мероприятия по улучшению условий труда и охраны труда, по пред</w:t>
      </w:r>
      <w:r>
        <w:rPr>
          <w:rFonts w:ascii="Times New Roman" w:hAnsi="Times New Roman"/>
          <w:sz w:val="28"/>
          <w:szCs w:val="28"/>
        </w:rPr>
        <w:t>упреждению производственного травматизма и профессиональных заболеваний, по обучению работников по охране труда, в том числе обучение безопасным методам и приемам выполнения работ;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обеспечивают безопасные условия и охрану труда, создание и функционирование</w:t>
      </w:r>
      <w:r>
        <w:rPr>
          <w:rFonts w:ascii="Times New Roman" w:hAnsi="Times New Roman"/>
          <w:sz w:val="28"/>
          <w:szCs w:val="28"/>
        </w:rPr>
        <w:t xml:space="preserve"> системы управления охраной труда;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обеспечивают соответствие рабочих мест требованиям охраны труда,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</w:t>
      </w:r>
      <w:r>
        <w:rPr>
          <w:rFonts w:ascii="Times New Roman" w:hAnsi="Times New Roman"/>
          <w:sz w:val="28"/>
          <w:szCs w:val="28"/>
        </w:rPr>
        <w:t>водстве инструментов, сырья и материалов;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обеспечивают право работников на объединение для защиты своих интересов, включая создание и вступление в профессиональные союзы, ведение коллективных переговоров и заключение коллективных договоров.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В области промышленной и пожарной безопасности, охраны окружающей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Исполнители обеспечивают соблюдение норм действующего законодательства, в частности: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обеспечивают безопасность производственных процессов и применения передовых практик в сфере пр</w:t>
      </w:r>
      <w:r>
        <w:rPr>
          <w:rFonts w:ascii="Times New Roman" w:hAnsi="Times New Roman"/>
          <w:sz w:val="28"/>
          <w:szCs w:val="28"/>
        </w:rPr>
        <w:t xml:space="preserve">омышленной и пожарной безопасности, охраны окружающей среды, в том числе, в части: 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требований по безопасному ведению работ, требований промышленной безопасности при эксплуатации опасных производственных объектов, разработки мер, направленных на</w:t>
      </w:r>
      <w:r>
        <w:rPr>
          <w:rFonts w:ascii="Times New Roman" w:hAnsi="Times New Roman"/>
          <w:sz w:val="28"/>
          <w:szCs w:val="28"/>
        </w:rPr>
        <w:t xml:space="preserve"> улучшение состояния промышленной безопасности (предупреждение аварий, инцидентов </w:t>
      </w:r>
      <w:r>
        <w:rPr>
          <w:rFonts w:ascii="Times New Roman" w:hAnsi="Times New Roman"/>
          <w:sz w:val="28"/>
          <w:szCs w:val="28"/>
        </w:rPr>
        <w:br/>
        <w:t>и несчастных случаев на опасных производственных объектах);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и аттестации работников в области промышленной безопасности, обучения работников действиям в случае ав</w:t>
      </w:r>
      <w:r>
        <w:rPr>
          <w:rFonts w:ascii="Times New Roman" w:hAnsi="Times New Roman"/>
          <w:sz w:val="28"/>
          <w:szCs w:val="28"/>
        </w:rPr>
        <w:t>арии или инцидента на опасном производственном объекте;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соблюдения требований пожарной безопасности, включая разработку </w:t>
      </w:r>
      <w:r>
        <w:rPr>
          <w:rFonts w:ascii="Times New Roman" w:hAnsi="Times New Roman"/>
          <w:sz w:val="28"/>
          <w:szCs w:val="28"/>
        </w:rPr>
        <w:br/>
        <w:t xml:space="preserve">и осуществление мер пожарной безопасности, обучение работников мерам пожарной безопасности, содержание в исправном состоянии системы и </w:t>
      </w:r>
      <w:r>
        <w:rPr>
          <w:rFonts w:ascii="Times New Roman" w:hAnsi="Times New Roman"/>
          <w:sz w:val="28"/>
          <w:szCs w:val="28"/>
        </w:rPr>
        <w:t xml:space="preserve">средства противопожарной защиты; 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обязательств по минимизации негативного воздействия на окружающую среду, оказываемого в процессе осуществления хозяйственной деятельности;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правил производства, хранения, транспортировки, применения, з</w:t>
      </w:r>
      <w:r>
        <w:rPr>
          <w:rFonts w:ascii="Times New Roman" w:hAnsi="Times New Roman"/>
          <w:sz w:val="28"/>
          <w:szCs w:val="28"/>
        </w:rPr>
        <w:t>ахоронения радиоактивных веществ и ядерных материалов, химических веществ;</w:t>
      </w:r>
    </w:p>
    <w:p w:rsidR="00732025" w:rsidRDefault="006A36BF">
      <w:pPr>
        <w:widowControl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внедрения мероприятий по повышению энергетической эффективности.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В области обеспечения качества и безопасности товаров (работ, услуг) Исполнители выполняют требования действующ</w:t>
      </w:r>
      <w:r>
        <w:rPr>
          <w:rFonts w:ascii="Times New Roman" w:hAnsi="Times New Roman"/>
          <w:sz w:val="28"/>
          <w:szCs w:val="28"/>
        </w:rPr>
        <w:t xml:space="preserve">его законодательства Российской Федерации, предъявляемые к безопасности и качеству поставляемых товаров (выполняемых работ, оказываемых услуг), в том числе обеспечивают раскрытие информации о составе и характеристиках поставляемой продукции (сертификаты и </w:t>
      </w:r>
      <w:r>
        <w:rPr>
          <w:rFonts w:ascii="Times New Roman" w:hAnsi="Times New Roman"/>
          <w:sz w:val="28"/>
          <w:szCs w:val="28"/>
        </w:rPr>
        <w:t>иные документы).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В сфере противодействия коррупции и исключения конфликта интересов Исполнители: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соблюдают требования законодательства Российской Федерации, общепризнанных принципов и норм международного права, международных договоров, ратифицированных Российской Федерации, антикоррупционных стандартов, принятых в ПАО «Газпром»;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исключают условия, спо</w:t>
      </w:r>
      <w:r>
        <w:rPr>
          <w:rFonts w:ascii="Times New Roman" w:hAnsi="Times New Roman"/>
          <w:sz w:val="28"/>
          <w:szCs w:val="28"/>
        </w:rPr>
        <w:t>собствующие совершению работниками сторон по договору коррупционных правонарушений</w:t>
      </w:r>
      <w:r>
        <w:rPr>
          <w:rStyle w:val="aff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, а также принимают меры по предотвращению и своевременному урегулированию возникающих конфликтов интересов;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уведомляют представителей Группы Газпром (в том чис</w:t>
      </w:r>
      <w:r>
        <w:rPr>
          <w:rFonts w:ascii="Times New Roman" w:hAnsi="Times New Roman"/>
          <w:sz w:val="28"/>
          <w:szCs w:val="28"/>
        </w:rPr>
        <w:t>ле по каналам «Горячей линии» по вопросам противодействия мошенничеству, коррупции и хищениям в Группе Газпром</w:t>
      </w:r>
      <w:r>
        <w:rPr>
          <w:rStyle w:val="aff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) об условиях, способствующих совершению работниками сторон по договору коррупционных правонарушений, возникновению конфликта интересов, фактах к</w:t>
      </w:r>
      <w:r>
        <w:rPr>
          <w:rFonts w:ascii="Times New Roman" w:hAnsi="Times New Roman"/>
          <w:sz w:val="28"/>
          <w:szCs w:val="28"/>
        </w:rPr>
        <w:t>оррупционных правонарушений.</w:t>
      </w:r>
    </w:p>
    <w:p w:rsidR="00732025" w:rsidRDefault="00732025">
      <w:pPr>
        <w:tabs>
          <w:tab w:val="left" w:pos="4711"/>
        </w:tabs>
        <w:spacing w:before="0"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732025" w:rsidRDefault="00732025">
      <w:pPr>
        <w:tabs>
          <w:tab w:val="left" w:pos="4711"/>
        </w:tabs>
        <w:spacing w:before="0"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732025" w:rsidRDefault="006A36BF">
      <w:p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 СОБЛЮДЕНИЕ ОСНОВ ДЕЛОВОЙ КОРПОРАТИВНОЙ ЭТИКИ ПАО «ГАЗПРОМ» 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sz w:val="28"/>
          <w:szCs w:val="28"/>
        </w:rPr>
        <w:t>5.1. В ПАО «Газпром» действует Кодекс корпоративной этики ПАО «Газпром»</w:t>
      </w:r>
      <w:r>
        <w:rPr>
          <w:rStyle w:val="aff"/>
          <w:rFonts w:ascii="Times New Roman" w:hAnsi="Times New Roman"/>
          <w:sz w:val="28"/>
          <w:szCs w:val="28"/>
        </w:rPr>
        <w:footnoteReference w:id="4"/>
      </w:r>
      <w:r>
        <w:rPr>
          <w:rStyle w:val="12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закрепляющий корпоративные ценности ПАО «Газпром» и определяющий основанные на них и при</w:t>
      </w:r>
      <w:r>
        <w:rPr>
          <w:rFonts w:ascii="Times New Roman" w:hAnsi="Times New Roman"/>
          <w:sz w:val="28"/>
          <w:szCs w:val="28"/>
        </w:rPr>
        <w:t>нятые в ПАО «Газпром» наиболее важные правила делового поведения. Положения Кодекса корпоративной этики ПАО «Газпром» послужили базовой основой для разработки кодексов корпоративной этики Компаниями Группы Газпром.</w:t>
      </w:r>
    </w:p>
    <w:p w:rsidR="00732025" w:rsidRDefault="006A36BF">
      <w:pPr>
        <w:spacing w:before="0" w:after="0"/>
        <w:ind w:firstLine="709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Исходя из общепринятой практики, Гру</w:t>
      </w:r>
      <w:r>
        <w:rPr>
          <w:rFonts w:ascii="Times New Roman" w:hAnsi="Times New Roman"/>
          <w:sz w:val="28"/>
          <w:szCs w:val="28"/>
        </w:rPr>
        <w:t>ппа Газпром основывается на понимании, что аналогичные принципы делового поведения и корпоративной этики разработаны и внедрены у Исполнителей.</w:t>
      </w:r>
    </w:p>
    <w:sectPr w:rsidR="00732025">
      <w:headerReference w:type="default" r:id="rId8"/>
      <w:pgSz w:w="11900" w:h="16820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BF" w:rsidRDefault="006A36BF">
      <w:pPr>
        <w:spacing w:before="0" w:after="0"/>
      </w:pPr>
      <w:r>
        <w:separator/>
      </w:r>
    </w:p>
  </w:endnote>
  <w:endnote w:type="continuationSeparator" w:id="0">
    <w:p w:rsidR="006A36BF" w:rsidRDefault="006A36BF">
      <w:pPr>
        <w:spacing w:before="0" w:after="0"/>
      </w:pPr>
      <w:r>
        <w:continuationSeparator/>
      </w:r>
    </w:p>
  </w:endnote>
  <w:endnote w:type="continuationNotice" w:id="1">
    <w:p w:rsidR="006A36BF" w:rsidRDefault="006A36B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BF" w:rsidRDefault="006A36BF">
      <w:pPr>
        <w:spacing w:before="0" w:after="0"/>
      </w:pPr>
      <w:r>
        <w:separator/>
      </w:r>
    </w:p>
  </w:footnote>
  <w:footnote w:type="continuationSeparator" w:id="0">
    <w:p w:rsidR="006A36BF" w:rsidRDefault="006A36BF">
      <w:pPr>
        <w:spacing w:before="0" w:after="0"/>
      </w:pPr>
      <w:r>
        <w:continuationSeparator/>
      </w:r>
    </w:p>
  </w:footnote>
  <w:footnote w:type="continuationNotice" w:id="1">
    <w:p w:rsidR="006A36BF" w:rsidRDefault="006A36BF">
      <w:pPr>
        <w:spacing w:before="0" w:after="0"/>
      </w:pPr>
    </w:p>
  </w:footnote>
  <w:footnote w:id="2">
    <w:p w:rsidR="00732025" w:rsidRDefault="006A36BF">
      <w:pPr>
        <w:pStyle w:val="af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Под коррупционными правонарушениями понимаются деяния, указанные в Федеральном законе Российской Федерации от 25 октября 2008 г. № 273-ФЗ «О противодействии коррупции», уголовном, административном законодательстве и иных законодательных актах Российской Ф</w:t>
      </w:r>
      <w:r>
        <w:rPr>
          <w:rFonts w:ascii="Times New Roman" w:hAnsi="Times New Roman" w:cs="Times New Roman"/>
          <w:sz w:val="24"/>
          <w:szCs w:val="24"/>
        </w:rPr>
        <w:t>едерации (с учетом указаний и разъяснений органов законодательной, судебной и исполнительной власти Российской Федерации в области противодействия коррупции).</w:t>
      </w:r>
    </w:p>
  </w:footnote>
  <w:footnote w:id="3">
    <w:p w:rsidR="00732025" w:rsidRDefault="006A36BF">
      <w:pPr>
        <w:pStyle w:val="af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Положение о «Горячей линии» по вопросам противоде</w:t>
      </w:r>
      <w:r>
        <w:rPr>
          <w:rFonts w:ascii="Times New Roman" w:hAnsi="Times New Roman" w:cs="Times New Roman"/>
          <w:sz w:val="24"/>
          <w:szCs w:val="24"/>
        </w:rPr>
        <w:t>йствия мошенничества, коррупции и хищения в Группе Газпром, утвержденное приказ ОАО «Газпром» от 04 сентября 2014 г. № 423. Контактные данные размещены в открытом доступе в сети Интернет на официальном сайте ПАО «Газпром» по адресу: https://www.gazprom.ru/</w:t>
      </w:r>
      <w:r>
        <w:rPr>
          <w:rFonts w:ascii="Times New Roman" w:hAnsi="Times New Roman" w:cs="Times New Roman"/>
          <w:sz w:val="24"/>
          <w:szCs w:val="24"/>
          <w:lang w:val="en-US"/>
        </w:rPr>
        <w:t>contacts</w:t>
      </w:r>
      <w:r>
        <w:rPr>
          <w:rFonts w:ascii="Times New Roman" w:hAnsi="Times New Roman" w:cs="Times New Roman"/>
          <w:sz w:val="24"/>
          <w:szCs w:val="24"/>
        </w:rPr>
        <w:t>/.</w:t>
      </w:r>
    </w:p>
  </w:footnote>
  <w:footnote w:id="4">
    <w:p w:rsidR="00732025" w:rsidRDefault="006A36BF">
      <w:pPr>
        <w:pStyle w:val="af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Утвержден решением Совета директоров ОАО «Газпром» от 25 февраля 2014 г. № 2309 (с последующими изменениями) и размещен в открытом доступе в сети Интернет на официальном сайте ПАО «Газпром» по адресу: </w:t>
      </w:r>
      <w:hyperlink r:id="rId1" w:tooltip="https://www.gazprom.ru/investors/documents/" w:history="1">
        <w:r>
          <w:rPr>
            <w:rStyle w:val="ad"/>
            <w:rFonts w:ascii="Times New Roman" w:hAnsi="Times New Roman" w:cs="Times New Roman"/>
            <w:sz w:val="24"/>
            <w:szCs w:val="24"/>
          </w:rPr>
          <w:t>https://www.gazprom.ru/investors/documents/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32025" w:rsidRDefault="006A36BF">
      <w:pPr>
        <w:pStyle w:val="aff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652598383"/>
      <w:docPartObj>
        <w:docPartGallery w:val="Page Numbers (Top of Page)"/>
        <w:docPartUnique/>
      </w:docPartObj>
    </w:sdtPr>
    <w:sdtEndPr/>
    <w:sdtContent>
      <w:p w:rsidR="00732025" w:rsidRDefault="006A36BF">
        <w:pPr>
          <w:pStyle w:val="afa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8E714E">
          <w:rPr>
            <w:rFonts w:ascii="Times New Roman" w:hAnsi="Times New Roman"/>
            <w:noProof/>
            <w:sz w:val="28"/>
            <w:szCs w:val="28"/>
          </w:rPr>
          <w:t>4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339"/>
    <w:multiLevelType w:val="hybridMultilevel"/>
    <w:tmpl w:val="D07CDE8C"/>
    <w:lvl w:ilvl="0" w:tplc="488EC5B2">
      <w:start w:val="1"/>
      <w:numFmt w:val="decimal"/>
      <w:lvlText w:val="%1."/>
      <w:lvlJc w:val="left"/>
      <w:pPr>
        <w:ind w:left="360" w:hanging="360"/>
      </w:pPr>
    </w:lvl>
    <w:lvl w:ilvl="1" w:tplc="BA6E9A02">
      <w:start w:val="1"/>
      <w:numFmt w:val="lowerLetter"/>
      <w:lvlText w:val="%2."/>
      <w:lvlJc w:val="left"/>
      <w:pPr>
        <w:ind w:left="1080" w:hanging="360"/>
      </w:pPr>
    </w:lvl>
    <w:lvl w:ilvl="2" w:tplc="CF1AA758">
      <w:start w:val="1"/>
      <w:numFmt w:val="lowerRoman"/>
      <w:lvlText w:val="%3."/>
      <w:lvlJc w:val="right"/>
      <w:pPr>
        <w:ind w:left="1800" w:hanging="180"/>
      </w:pPr>
    </w:lvl>
    <w:lvl w:ilvl="3" w:tplc="8CEA7C6A">
      <w:start w:val="1"/>
      <w:numFmt w:val="decimal"/>
      <w:lvlText w:val="%4."/>
      <w:lvlJc w:val="left"/>
      <w:pPr>
        <w:ind w:left="2520" w:hanging="360"/>
      </w:pPr>
    </w:lvl>
    <w:lvl w:ilvl="4" w:tplc="5E3A6A52">
      <w:start w:val="1"/>
      <w:numFmt w:val="lowerLetter"/>
      <w:lvlText w:val="%5."/>
      <w:lvlJc w:val="left"/>
      <w:pPr>
        <w:ind w:left="3240" w:hanging="360"/>
      </w:pPr>
    </w:lvl>
    <w:lvl w:ilvl="5" w:tplc="35D234A0">
      <w:start w:val="1"/>
      <w:numFmt w:val="lowerRoman"/>
      <w:lvlText w:val="%6."/>
      <w:lvlJc w:val="right"/>
      <w:pPr>
        <w:ind w:left="3960" w:hanging="180"/>
      </w:pPr>
    </w:lvl>
    <w:lvl w:ilvl="6" w:tplc="39C8F6BE">
      <w:start w:val="1"/>
      <w:numFmt w:val="decimal"/>
      <w:lvlText w:val="%7."/>
      <w:lvlJc w:val="left"/>
      <w:pPr>
        <w:ind w:left="4680" w:hanging="360"/>
      </w:pPr>
    </w:lvl>
    <w:lvl w:ilvl="7" w:tplc="694641BA">
      <w:start w:val="1"/>
      <w:numFmt w:val="lowerLetter"/>
      <w:lvlText w:val="%8."/>
      <w:lvlJc w:val="left"/>
      <w:pPr>
        <w:ind w:left="5400" w:hanging="360"/>
      </w:pPr>
    </w:lvl>
    <w:lvl w:ilvl="8" w:tplc="ECC266B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57A56"/>
    <w:multiLevelType w:val="multilevel"/>
    <w:tmpl w:val="2ACA14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E71776"/>
    <w:multiLevelType w:val="multilevel"/>
    <w:tmpl w:val="CDF23E80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3A7F4F7E"/>
    <w:multiLevelType w:val="multilevel"/>
    <w:tmpl w:val="2B302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2121AB8"/>
    <w:multiLevelType w:val="multilevel"/>
    <w:tmpl w:val="4830B4D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63533350"/>
    <w:multiLevelType w:val="hybridMultilevel"/>
    <w:tmpl w:val="7166EBEE"/>
    <w:lvl w:ilvl="0" w:tplc="CAB88B48">
      <w:start w:val="1"/>
      <w:numFmt w:val="decimal"/>
      <w:lvlText w:val="%1."/>
      <w:lvlJc w:val="left"/>
      <w:pPr>
        <w:ind w:left="1571" w:hanging="360"/>
      </w:pPr>
    </w:lvl>
    <w:lvl w:ilvl="1" w:tplc="EA0C74A4">
      <w:start w:val="1"/>
      <w:numFmt w:val="lowerLetter"/>
      <w:lvlText w:val="%2."/>
      <w:lvlJc w:val="left"/>
      <w:pPr>
        <w:ind w:left="2291" w:hanging="360"/>
      </w:pPr>
    </w:lvl>
    <w:lvl w:ilvl="2" w:tplc="1A82396A">
      <w:start w:val="1"/>
      <w:numFmt w:val="lowerRoman"/>
      <w:lvlText w:val="%3."/>
      <w:lvlJc w:val="right"/>
      <w:pPr>
        <w:ind w:left="3011" w:hanging="180"/>
      </w:pPr>
    </w:lvl>
    <w:lvl w:ilvl="3" w:tplc="225EDB5C">
      <w:start w:val="1"/>
      <w:numFmt w:val="decimal"/>
      <w:lvlText w:val="%4."/>
      <w:lvlJc w:val="left"/>
      <w:pPr>
        <w:ind w:left="3731" w:hanging="360"/>
      </w:pPr>
    </w:lvl>
    <w:lvl w:ilvl="4" w:tplc="08E0E2D2">
      <w:start w:val="1"/>
      <w:numFmt w:val="lowerLetter"/>
      <w:lvlText w:val="%5."/>
      <w:lvlJc w:val="left"/>
      <w:pPr>
        <w:ind w:left="4451" w:hanging="360"/>
      </w:pPr>
    </w:lvl>
    <w:lvl w:ilvl="5" w:tplc="0D16674C">
      <w:start w:val="1"/>
      <w:numFmt w:val="lowerRoman"/>
      <w:lvlText w:val="%6."/>
      <w:lvlJc w:val="right"/>
      <w:pPr>
        <w:ind w:left="5171" w:hanging="180"/>
      </w:pPr>
    </w:lvl>
    <w:lvl w:ilvl="6" w:tplc="69B6FA26">
      <w:start w:val="1"/>
      <w:numFmt w:val="decimal"/>
      <w:lvlText w:val="%7."/>
      <w:lvlJc w:val="left"/>
      <w:pPr>
        <w:ind w:left="5891" w:hanging="360"/>
      </w:pPr>
    </w:lvl>
    <w:lvl w:ilvl="7" w:tplc="0BFAF98C">
      <w:start w:val="1"/>
      <w:numFmt w:val="lowerLetter"/>
      <w:lvlText w:val="%8."/>
      <w:lvlJc w:val="left"/>
      <w:pPr>
        <w:ind w:left="6611" w:hanging="360"/>
      </w:pPr>
    </w:lvl>
    <w:lvl w:ilvl="8" w:tplc="FF027BC2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25"/>
    <w:rsid w:val="006A36BF"/>
    <w:rsid w:val="00732025"/>
    <w:rsid w:val="008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1FBC6-C1F8-4523-800A-E932624C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240"/>
      <w:jc w:val="both"/>
    </w:pPr>
    <w:rPr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2">
    <w:name w:val="Обычный1"/>
    <w:rPr>
      <w:sz w:val="22"/>
    </w:rPr>
  </w:style>
  <w:style w:type="paragraph" w:styleId="24">
    <w:name w:val="toc 2"/>
    <w:next w:val="a"/>
    <w:link w:val="25"/>
    <w:uiPriority w:val="39"/>
    <w:pPr>
      <w:ind w:left="200"/>
    </w:pPr>
    <w:rPr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i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Pr>
      <w:sz w:val="22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b">
    <w:name w:val="Верхний колонтитул Знак"/>
    <w:basedOn w:val="a0"/>
    <w:link w:val="afa"/>
    <w:uiPriority w:val="99"/>
    <w:rPr>
      <w:sz w:val="22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d">
    <w:name w:val="Нижний колонтитул Знак"/>
    <w:basedOn w:val="a0"/>
    <w:link w:val="afc"/>
    <w:uiPriority w:val="99"/>
    <w:rPr>
      <w:sz w:val="22"/>
    </w:rPr>
  </w:style>
  <w:style w:type="paragraph" w:customStyle="1" w:styleId="Standard">
    <w:name w:val="Standard"/>
    <w:pPr>
      <w:widowControl w:val="0"/>
    </w:pPr>
    <w:rPr>
      <w:rFonts w:ascii="Times New Roman" w:hAnsi="Times New Roman" w:cs="Tahoma"/>
      <w:color w:val="auto"/>
      <w:szCs w:val="24"/>
      <w:lang w:val="de-DE" w:eastAsia="ja-JP" w:bidi="fa-IR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Default">
    <w:name w:val="Default"/>
    <w:rPr>
      <w:rFonts w:ascii="Times New Roman" w:eastAsiaTheme="minorHAnsi" w:hAnsi="Times New Roman"/>
      <w:szCs w:val="24"/>
      <w:lang w:eastAsia="en-US"/>
    </w:rPr>
  </w:style>
  <w:style w:type="paragraph" w:styleId="aff0">
    <w:name w:val="footnote text"/>
    <w:basedOn w:val="a"/>
    <w:link w:val="aff1"/>
    <w:uiPriority w:val="99"/>
    <w:semiHidden/>
    <w:unhideWhenUsed/>
    <w:pPr>
      <w:spacing w:before="0" w:after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asciiTheme="minorHAnsi" w:eastAsiaTheme="minorHAnsi" w:hAnsiTheme="minorHAnsi" w:cstheme="minorBidi"/>
      <w:color w:val="auto"/>
      <w:sz w:val="20"/>
      <w:lang w:eastAsia="en-US"/>
    </w:rPr>
  </w:style>
  <w:style w:type="paragraph" w:styleId="26">
    <w:name w:val="List Continue 2"/>
    <w:basedOn w:val="a"/>
    <w:link w:val="27"/>
    <w:uiPriority w:val="99"/>
    <w:pPr>
      <w:spacing w:before="0" w:after="12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27">
    <w:name w:val="Продолжение списка 2 Знак"/>
    <w:basedOn w:val="a0"/>
    <w:link w:val="26"/>
    <w:uiPriority w:val="99"/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zprom.ru/investors/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549A-57FD-4E5F-8398-4050AD62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информ"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Худякова Эльвира Васильевна</dc:creator>
  <cp:lastModifiedBy>Дмитриева Виктория Геннадьевна</cp:lastModifiedBy>
  <cp:revision>2</cp:revision>
  <dcterms:created xsi:type="dcterms:W3CDTF">2024-11-01T12:43:00Z</dcterms:created>
  <dcterms:modified xsi:type="dcterms:W3CDTF">2024-11-01T12:43:00Z</dcterms:modified>
</cp:coreProperties>
</file>